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45</w:t>
      </w:r>
    </w:p>
    <w:p>
      <w:r>
        <w:t>Bundesgericht (BGE), 2004-01-01, FR</w:t>
      </w:r>
    </w:p>
    <w:p>
      <w:r>
        <w:rPr>
          <w:b/>
        </w:rPr>
        <w:t xml:space="preserve">Quelle: </w:t>
      </w:r>
      <w:r>
        <w:t>https://mcp.opencaselaw.ch/entscheid/bge_130 III 45</w:t>
      </w:r>
    </w:p>
    <w:p>
      <w:r>
        <w:t>FR: ATF 130 III 45</w:t>
      </w:r>
    </w:p>
    <w:p>
      <w:r>
        <w:t>IT: DTF 130 III 45</w:t>
      </w:r>
    </w:p>
    <w:p>
      <w:pPr>
        <w:pStyle w:val="Heading2"/>
      </w:pPr>
      <w:r>
        <w:t>Regeste</w:t>
      </w:r>
    </w:p>
    <w:p>
      <w:r>
        <w:t>Regeste Bestimmung des nach Art. 93 SchKG pfändbaren Einkommens; Frage der Verbindlichkeit einer zwischen dem Schuldner und seiner Ehegattin über die Unterhaltsbeiträge abgeschlossenen und vom Eheschutzrichter genehmigten Vereinbarung für das Betreibungsamt. Bei der Anwendung von Art. 93 SchKG sind die Betreibungsbehörden grundsätzlich nicht an den richterlichen Entscheid über die vom Schuldner an den Unterhalt von Familienmitgliedern zu leistenden Beiträge gebunden. In der Regel werden sie sich jedoch an den vom Richter festgelegten Betrag halten, es sei denn, es sei ersichtlich, dass der Unterhaltsgläubiger keineswegs den ganzen Unterhaltsbeitrag benötigt. Ein uneingeschränktes Ermessen steht den Betreibungsbehörden auf jeden Fall dann zu, wenn der Richter nicht selbst den Unterhaltsbeitrag festgelegt, sondern sich damit begnügt hat, eine Vereinbarung der Ehegatten zu genehmigen (E. 2).</w:t>
      </w:r>
    </w:p>
    <w:p>
      <w:pPr>
        <w:pStyle w:val="Heading2"/>
      </w:pPr>
      <w:r>
        <w:t>Erwägungen</w:t>
      </w:r>
    </w:p>
    <w:p>
      <w:r>
        <w:rPr>
          <w:b/>
        </w:rPr>
        <w:t>E. 2</w:t>
      </w:r>
    </w:p>
    <w:p>
      <w:r>
        <w:t>La question de savoir si et dans quelle mesure une dette d'aliments fait échec à l'exécution d'une saisie de salaire doit être tranchée à la lumière de l' art. 93 LP , disposition qu'appliquent souverainement les autorités de poursuite. En vertu de cette disposition, le salaire du débiteur ne peut être saisi au profit d'un créancier ordinaire que déduction faite de ce qui est indispensable à son entretien et à celui de sa famille.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Elles ne sont donc en principe pas liées par la décision qu'aurait pu prendre le juge ou telle autre autorité compétente quant au montant des aliments dus par le débiteur à tel ou tel membre de sa famille. Elles s'en tiennent toutefois, en général, au chiffre fixé par le juge, à moins qu'il n'y ait des motifs précis de croire que le créancier d'aliments n'a nullement besoin, pour s'assurer le minimum qui lui est indispensable, de toute la contribution mise à la charge du débiteur ( ATF 68 III 26 , 97; 71 III 174 consid. 3; ATF 105 III 50 consid. 5). La liberté d'appréciation des autorités de poursuite en la matière est en tous les cas entière lorsque le juge ne fixe pas lui-même les contributions d'entretien ( art. 173 al. 1 CC ), mais se contente, comme en l'espèce, de ratifier une convention des époux, arrangement interne qui n'oblige que ceux-ci et ne peut avoir pour effet de modifier le minimum vital de l'époux poursuivi au détriment de ses créanciers ( ATF 116 III 75 consid. 2b et les références). En effet, bien que les conjoints puissent convenir de la façon dont chacun apporte sa contribution à l'entretien de la famille ( art. 163 al. 2 CC ), il n'est pas possible, dans le cadre d'une BGE 130 III 45 S. 48 poursuite exercée par un tiers contre un époux, de tenir compte de leurs conventions internes (arrêt du Tribunal fédéral du 29 octobre 1990, cité par GILLIÉRON dans son commentaire de la loi fédérale sur la poursuite pour dettes et la faillite [n. 114 ad art. 93 LP ]). Comme le relève un autre auteur, le juge des mesures protectrices de l'union conjugale est d'ailleurs lié par les déclarations des parties et n'a pas à prendre en considération les intérêts des créanciers saisissants (GEORGES VONDER MÜHLL, Kommentar zum Bundesgesetz über Schuldbetreibung und Konkurs, n. 34 ad art. 93 LP ; cf. en outre HAUSHEER/REUSSER/GEISER, Kommentar zum Eherecht, n. 67 ad art. 163 CC ; AMONN/WALTHER, Grundriss des Schuldbetreibungs- und Konkursrechts, 7 e éd., Berne 2003, § 23 n.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